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18" w:rsidRDefault="00CC1818" w:rsidP="00CC1818">
      <w:pPr>
        <w:spacing w:after="360"/>
        <w:rPr>
          <w:b/>
        </w:rPr>
      </w:pPr>
    </w:p>
    <w:p w:rsidR="00B6481B" w:rsidRDefault="00E96404" w:rsidP="00CC1818">
      <w:pPr>
        <w:spacing w:after="240"/>
      </w:pPr>
      <w:r w:rsidRPr="00D56C43">
        <w:rPr>
          <w:b/>
        </w:rPr>
        <w:t>Table</w:t>
      </w:r>
      <w:r w:rsidR="00EE2B89" w:rsidRPr="00D56C43">
        <w:rPr>
          <w:b/>
        </w:rPr>
        <w:t xml:space="preserve"> S</w:t>
      </w:r>
      <w:r w:rsidR="00F1769B">
        <w:rPr>
          <w:b/>
        </w:rPr>
        <w:t>1</w:t>
      </w:r>
      <w:r w:rsidR="0063318E">
        <w:rPr>
          <w:b/>
        </w:rPr>
        <w:t>.a</w:t>
      </w:r>
      <w:r w:rsidR="00EE2B89" w:rsidRPr="00D56C43">
        <w:rPr>
          <w:b/>
        </w:rPr>
        <w:t>.</w:t>
      </w:r>
      <w:r w:rsidR="00B6481B">
        <w:t xml:space="preserve">   </w:t>
      </w:r>
      <w:proofErr w:type="gramStart"/>
      <w:r w:rsidR="00335A74">
        <w:t>Levels  of</w:t>
      </w:r>
      <w:proofErr w:type="gramEnd"/>
      <w:r w:rsidR="00335A74">
        <w:t xml:space="preserve"> Flavor</w:t>
      </w:r>
      <w:r w:rsidR="00734AE5">
        <w:t>-Related</w:t>
      </w:r>
      <w:r w:rsidR="00335A74">
        <w:t xml:space="preserve"> </w:t>
      </w:r>
      <w:r w:rsidR="00734AE5">
        <w:t>Chemicals</w:t>
      </w:r>
      <w:r w:rsidR="00335A74">
        <w:t xml:space="preserve"> </w:t>
      </w:r>
      <w:r w:rsidR="002959F8">
        <w:t xml:space="preserve">(Compounds 23 to 65) </w:t>
      </w:r>
      <w:r w:rsidR="00335A74">
        <w:t xml:space="preserve">in </w:t>
      </w:r>
      <w:r w:rsidR="00A94F5A">
        <w:t xml:space="preserve">10 </w:t>
      </w:r>
      <w:r w:rsidR="00B6481B">
        <w:t xml:space="preserve">Tobacco </w:t>
      </w:r>
      <w:r w:rsidR="00335A74">
        <w:t>P</w:t>
      </w:r>
      <w:r w:rsidR="00B6481B">
        <w:t xml:space="preserve">roducts </w:t>
      </w:r>
      <w:r w:rsidR="00A94F5A">
        <w:t xml:space="preserve">(1 through 10) Without Explicit Flavor Names </w:t>
      </w:r>
      <w:r w:rsidR="00335A74">
        <w:t xml:space="preserve">Purchased in </w:t>
      </w:r>
      <w:r w:rsidR="00734AE5">
        <w:t xml:space="preserve">February and March of 2015 </w:t>
      </w:r>
      <w:r w:rsidR="00A94F5A">
        <w:t xml:space="preserve">in New York City.  Products </w:t>
      </w:r>
      <w:r w:rsidR="00335A74">
        <w:t>Ranked (Decreasing Order) by Total</w:t>
      </w:r>
      <w:r w:rsidR="00734AE5">
        <w:t>s</w:t>
      </w:r>
      <w:r w:rsidR="00335A74">
        <w:t xml:space="preserve"> </w:t>
      </w:r>
      <w:r w:rsidR="00734AE5">
        <w:t xml:space="preserve">for 93 Chemicals </w:t>
      </w:r>
      <w:r w:rsidR="00335A74">
        <w:t>Determined.</w:t>
      </w:r>
      <w:r w:rsidR="00C91941">
        <w:t xml:space="preserve">  </w:t>
      </w:r>
      <w:r w:rsidR="004033E2">
        <w:t xml:space="preserve">Values Given Are Means For Triplicate Analyses.  </w:t>
      </w:r>
      <w:r w:rsidR="00C91941">
        <w:t xml:space="preserve">All </w:t>
      </w:r>
      <w:r w:rsidR="00F97A92">
        <w:t>V</w:t>
      </w:r>
      <w:r w:rsidR="00C91941">
        <w:t xml:space="preserve">alues in </w:t>
      </w:r>
      <w:r w:rsidR="00FD62DB">
        <w:t xml:space="preserve">Micrograms </w:t>
      </w:r>
      <w:r w:rsidR="00734AE5">
        <w:t>(</w:t>
      </w:r>
      <w:r w:rsidR="00734AE5">
        <w:sym w:font="Symbol" w:char="F06D"/>
      </w:r>
      <w:r w:rsidR="00734AE5">
        <w:t xml:space="preserve">g) </w:t>
      </w:r>
      <w:r w:rsidR="00FD62DB">
        <w:t>of Flavor Chemical per Gram of Product (</w:t>
      </w:r>
      <w:r w:rsidR="00C91941">
        <w:t>µg</w:t>
      </w:r>
      <w:proofErr w:type="gramStart"/>
      <w:r w:rsidR="00C91941">
        <w:t>/</w:t>
      </w:r>
      <w:r w:rsidR="00F97A92">
        <w:t>(</w:t>
      </w:r>
      <w:proofErr w:type="gramEnd"/>
      <w:r w:rsidR="00C91941">
        <w:t xml:space="preserve">g </w:t>
      </w:r>
      <w:r w:rsidR="00F97A92">
        <w:t>of p</w:t>
      </w:r>
      <w:r w:rsidR="00C91941">
        <w:t>roduct</w:t>
      </w:r>
      <w:r w:rsidR="00256EAA">
        <w:t xml:space="preserve">), Using </w:t>
      </w:r>
      <w:r w:rsidR="00734AE5">
        <w:t xml:space="preserve">a Maximum of </w:t>
      </w:r>
      <w:r w:rsidR="00256EAA">
        <w:t xml:space="preserve">Three Significant Figures.  </w:t>
      </w:r>
      <w:r w:rsidR="00734AE5">
        <w:t xml:space="preserve">Only Values </w:t>
      </w:r>
      <w:proofErr w:type="gramStart"/>
      <w:r w:rsidR="00734AE5">
        <w:t>Found</w:t>
      </w:r>
      <w:proofErr w:type="gramEnd"/>
      <w:r w:rsidR="00734AE5">
        <w:t xml:space="preserve"> to be &gt; 1.0 </w:t>
      </w:r>
      <w:r w:rsidR="00F97A92">
        <w:t xml:space="preserve">µg/g </w:t>
      </w:r>
      <w:r w:rsidR="00FD62DB">
        <w:t xml:space="preserve">Are </w:t>
      </w:r>
      <w:r w:rsidR="00734AE5">
        <w:t>Given</w:t>
      </w:r>
      <w:r w:rsidR="00F97A92">
        <w:t>.</w:t>
      </w:r>
    </w:p>
    <w:tbl>
      <w:tblPr>
        <w:tblW w:w="16583" w:type="dxa"/>
        <w:tblLayout w:type="fixed"/>
        <w:tblLook w:val="04A0"/>
      </w:tblPr>
      <w:tblGrid>
        <w:gridCol w:w="547"/>
        <w:gridCol w:w="2536"/>
        <w:gridCol w:w="958"/>
        <w:gridCol w:w="1214"/>
        <w:gridCol w:w="1220"/>
        <w:gridCol w:w="1214"/>
        <w:gridCol w:w="1214"/>
        <w:gridCol w:w="1214"/>
        <w:gridCol w:w="1214"/>
        <w:gridCol w:w="1245"/>
        <w:gridCol w:w="1245"/>
        <w:gridCol w:w="1245"/>
        <w:gridCol w:w="1517"/>
      </w:tblGrid>
      <w:tr w:rsidR="001E4450" w:rsidRPr="00414DF1" w:rsidTr="005A2E9A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4450" w:rsidRPr="00414DF1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4450" w:rsidRPr="00414DF1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50" w:rsidRPr="00414DF1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E4450" w:rsidRPr="00414DF1" w:rsidTr="005A2E9A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Compound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average for all 19 products</w:t>
            </w:r>
          </w:p>
          <w:p w:rsidR="001E4450" w:rsidRPr="00414DF1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(µg/g)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Show</w:t>
            </w:r>
          </w:p>
          <w:p w:rsidR="001E4450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Poco</w:t>
            </w:r>
            <w:proofErr w:type="spellEnd"/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Loco"</w:t>
            </w:r>
          </w:p>
          <w:p w:rsidR="001E4450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cigarillos</w:t>
            </w:r>
          </w:p>
          <w:p w:rsidR="001E4450" w:rsidRPr="00414DF1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(µg/g)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Show</w:t>
            </w:r>
          </w:p>
          <w:p w:rsidR="001E4450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“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TaTa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”</w:t>
            </w:r>
          </w:p>
          <w:p w:rsidR="001E4450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cigarillos</w:t>
            </w:r>
          </w:p>
          <w:p w:rsidR="001E4450" w:rsidRPr="00414DF1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(µg/g)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Bluntville</w:t>
            </w:r>
            <w:proofErr w:type="spellEnd"/>
          </w:p>
          <w:p w:rsidR="001E4450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“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Piff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”</w:t>
            </w:r>
          </w:p>
          <w:p w:rsidR="001E4450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cigaril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los</w:t>
            </w:r>
          </w:p>
          <w:p w:rsidR="001E4450" w:rsidRPr="00414DF1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(µg/g)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Show</w:t>
            </w:r>
          </w:p>
          <w:p w:rsidR="001E4450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“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Boom”</w:t>
            </w:r>
          </w:p>
          <w:p w:rsidR="001E4450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cigarillos</w:t>
            </w:r>
          </w:p>
          <w:p w:rsidR="001E4450" w:rsidRPr="00414DF1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(µg/g)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Black &amp; Mild</w:t>
            </w:r>
          </w:p>
          <w:p w:rsidR="001E4450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"Royale"</w:t>
            </w:r>
          </w:p>
          <w:p w:rsidR="001E4450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cigars</w:t>
            </w:r>
          </w:p>
          <w:p w:rsidR="001E4450" w:rsidRPr="00414DF1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(µg/g)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Hype</w:t>
            </w:r>
          </w:p>
          <w:p w:rsidR="001E4450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“Sweet”</w:t>
            </w:r>
          </w:p>
          <w:p w:rsidR="001E4450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cigarillos</w:t>
            </w:r>
          </w:p>
          <w:p w:rsidR="001E4450" w:rsidRPr="00414DF1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(µg/g)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Show</w:t>
            </w:r>
          </w:p>
          <w:p w:rsidR="001E4450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“Buzz”</w:t>
            </w:r>
          </w:p>
          <w:p w:rsidR="001E4450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cigarillos</w:t>
            </w:r>
          </w:p>
          <w:p w:rsidR="001E4450" w:rsidRPr="00414DF1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(µg/g)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450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Bluntville</w:t>
            </w:r>
            <w:proofErr w:type="spellEnd"/>
          </w:p>
          <w:p w:rsidR="001E4450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“Blue”</w:t>
            </w:r>
          </w:p>
          <w:p w:rsidR="001E4450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cigarillos</w:t>
            </w:r>
          </w:p>
          <w:p w:rsidR="001E4450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(µg/g)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4450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Rock n’ Roll</w:t>
            </w:r>
          </w:p>
          <w:p w:rsidR="001E4450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“Blue”</w:t>
            </w:r>
          </w:p>
          <w:p w:rsidR="001E4450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cigars</w:t>
            </w:r>
          </w:p>
          <w:p w:rsidR="001E4450" w:rsidRPr="00414DF1" w:rsidRDefault="001E4450" w:rsidP="005A2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(µg/g)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450" w:rsidRDefault="001E4450" w:rsidP="005A2E9A">
            <w:pPr>
              <w:spacing w:after="0" w:line="240" w:lineRule="auto"/>
              <w:ind w:left="-31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Hype</w:t>
            </w:r>
          </w:p>
          <w:p w:rsidR="001E4450" w:rsidRDefault="001E4450" w:rsidP="005A2E9A">
            <w:pPr>
              <w:spacing w:after="0" w:line="240" w:lineRule="auto"/>
              <w:ind w:left="-31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“Purple Reserve”</w:t>
            </w:r>
          </w:p>
          <w:p w:rsidR="001E4450" w:rsidRDefault="001E4450" w:rsidP="005A2E9A">
            <w:pPr>
              <w:spacing w:after="0" w:line="240" w:lineRule="auto"/>
              <w:ind w:left="-31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cigarillos</w:t>
            </w:r>
          </w:p>
          <w:p w:rsidR="001E4450" w:rsidRPr="00414DF1" w:rsidRDefault="001E4450" w:rsidP="005A2E9A">
            <w:pPr>
              <w:spacing w:after="0" w:line="240" w:lineRule="auto"/>
              <w:ind w:left="-31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(µg/g)</w:t>
            </w:r>
          </w:p>
        </w:tc>
      </w:tr>
      <w:tr w:rsidR="001E4450" w:rsidRPr="00414DF1" w:rsidTr="005A2E9A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T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otal: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546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500</w:t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7880.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78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544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80</w:t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40</w:t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70</w:t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4450" w:rsidRPr="00252A95" w:rsidRDefault="001E4450" w:rsidP="005A2E9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52A95">
              <w:rPr>
                <w:color w:val="000000"/>
                <w:sz w:val="18"/>
                <w:szCs w:val="18"/>
              </w:rPr>
              <w:t>34</w:t>
            </w:r>
            <w:r>
              <w:rPr>
                <w:color w:val="000000"/>
                <w:sz w:val="18"/>
                <w:szCs w:val="18"/>
              </w:rPr>
              <w:t>60</w:t>
            </w:r>
            <w:r w:rsidRPr="00252A95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815541">
              <w:rPr>
                <w:color w:val="000000"/>
                <w:sz w:val="18"/>
                <w:szCs w:val="18"/>
              </w:rPr>
              <w:t>342</w:t>
            </w:r>
            <w:r>
              <w:rPr>
                <w:color w:val="000000"/>
                <w:sz w:val="18"/>
                <w:szCs w:val="18"/>
              </w:rPr>
              <w:t>0</w:t>
            </w:r>
            <w:r w:rsidRPr="0081554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815541">
              <w:rPr>
                <w:color w:val="000000"/>
                <w:sz w:val="18"/>
                <w:szCs w:val="18"/>
              </w:rPr>
              <w:t>193</w:t>
            </w:r>
            <w:r>
              <w:rPr>
                <w:color w:val="000000"/>
                <w:sz w:val="18"/>
                <w:szCs w:val="18"/>
              </w:rPr>
              <w:t>0</w:t>
            </w:r>
            <w:r w:rsidRPr="00815541">
              <w:rPr>
                <w:color w:val="000000"/>
                <w:sz w:val="18"/>
                <w:szCs w:val="18"/>
              </w:rPr>
              <w:t>.</w:t>
            </w:r>
          </w:p>
        </w:tc>
      </w:tr>
      <w:tr w:rsidR="001E4450" w:rsidRPr="00414DF1" w:rsidTr="005A2E9A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ethyl </w:t>
            </w:r>
            <w:proofErr w:type="spellStart"/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cinnamate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276.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252A95" w:rsidRDefault="001E4450" w:rsidP="005A2E9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4450" w:rsidRPr="00414DF1" w:rsidTr="005A2E9A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e</w:t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thyl butyrate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134.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22.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252A95" w:rsidRDefault="001E4450" w:rsidP="005A2E9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4450" w:rsidRPr="00414DF1" w:rsidTr="005A2E9A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34AAC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p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-c</w:t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ymene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252A95" w:rsidRDefault="001E4450" w:rsidP="005A2E9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4450" w:rsidRPr="00414DF1" w:rsidTr="005A2E9A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enzaldehyde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27.9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252A95" w:rsidRDefault="00A34AAC" w:rsidP="005A2E9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815541" w:rsidRDefault="00A34AAC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815541">
              <w:rPr>
                <w:color w:val="000000"/>
                <w:sz w:val="18"/>
                <w:szCs w:val="18"/>
              </w:rPr>
              <w:t>23.7</w:t>
            </w:r>
          </w:p>
        </w:tc>
      </w:tr>
      <w:tr w:rsidR="001E4450" w:rsidRPr="00414DF1" w:rsidTr="005A2E9A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p</w:t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henethyl</w:t>
            </w:r>
            <w:proofErr w:type="spellEnd"/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alcohol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52.6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252A95" w:rsidRDefault="00A34AAC" w:rsidP="005A2E9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815541" w:rsidRDefault="00A34AAC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815541">
              <w:rPr>
                <w:color w:val="000000"/>
                <w:sz w:val="18"/>
                <w:szCs w:val="18"/>
              </w:rPr>
              <w:t>14.1</w:t>
            </w:r>
          </w:p>
        </w:tc>
      </w:tr>
      <w:tr w:rsidR="001E4450" w:rsidRPr="00414DF1" w:rsidTr="005A2E9A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2,3,5,6-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t</w:t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etramethylpyrazine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252A95" w:rsidRDefault="001E4450" w:rsidP="005A2E9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4450" w:rsidRPr="00414DF1" w:rsidTr="005A2E9A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sym w:font="Symbol" w:char="F067"/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terpinene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9.35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252A95" w:rsidRDefault="001E4450" w:rsidP="005A2E9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4450" w:rsidRPr="00414DF1" w:rsidTr="005A2E9A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ind w:right="-13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t</w:t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riacetin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(common flavor carrier)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9.12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173.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252A95" w:rsidRDefault="001E4450" w:rsidP="005A2E9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4450" w:rsidRPr="00414DF1" w:rsidTr="005A2E9A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yrcene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7.30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252A95" w:rsidRDefault="001E4450" w:rsidP="005A2E9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4450" w:rsidRPr="00414DF1" w:rsidTr="005A2E9A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de</w:t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canal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6.20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252A95" w:rsidRDefault="001E4450" w:rsidP="005A2E9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4450" w:rsidRPr="00414DF1" w:rsidTr="005A2E9A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4-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t</w:t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erpineol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6.01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252A95" w:rsidRDefault="001E4450" w:rsidP="005A2E9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4450" w:rsidRPr="00414DF1" w:rsidTr="005A2E9A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sym w:font="Symbol" w:char="F062"/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d</w:t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amascone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5.91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252A95" w:rsidRDefault="001E4450" w:rsidP="005A2E9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52A95">
              <w:rPr>
                <w:rFonts w:ascii="Calibri" w:hAnsi="Calibri"/>
                <w:color w:val="000000"/>
                <w:sz w:val="18"/>
                <w:szCs w:val="18"/>
              </w:rPr>
              <w:t>22.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4450" w:rsidRPr="00414DF1" w:rsidTr="005A2E9A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E9073A" w:rsidRDefault="001E4450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21377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ethyl </w:t>
            </w:r>
            <w:proofErr w:type="spellStart"/>
            <w:r w:rsidRPr="0021377D">
              <w:rPr>
                <w:rFonts w:eastAsia="Times New Roman" w:cs="Times New Roman"/>
                <w:color w:val="000000"/>
                <w:sz w:val="18"/>
                <w:szCs w:val="18"/>
              </w:rPr>
              <w:t>cinnamate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5.82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252A95" w:rsidRDefault="001E4450" w:rsidP="005A2E9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4450" w:rsidRPr="00414DF1" w:rsidTr="005A2E9A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sym w:font="Symbol" w:char="F061"/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p</w:t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inene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4.78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252A95" w:rsidRDefault="001E4450" w:rsidP="005A2E9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4450" w:rsidRPr="00414DF1" w:rsidTr="005A2E9A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</w:t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urfural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4.73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252A95" w:rsidRDefault="001E4450" w:rsidP="005A2E9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450" w:rsidRPr="00815541" w:rsidRDefault="00A34AAC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</w:p>
        </w:tc>
      </w:tr>
      <w:tr w:rsidR="001E4450" w:rsidRPr="00414DF1" w:rsidTr="005A2E9A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34AAC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E</w:t>
            </w:r>
            <w:r w:rsidRPr="00A34AAC">
              <w:rPr>
                <w:rFonts w:eastAsia="Times New Roman" w:cs="Times New Roman"/>
                <w:color w:val="000000"/>
                <w:sz w:val="18"/>
                <w:szCs w:val="18"/>
              </w:rPr>
              <w:t>-2-hexen-1-ol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4.59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87.3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252A95" w:rsidRDefault="001E4450" w:rsidP="005A2E9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4450" w:rsidRPr="00414DF1" w:rsidTr="005A2E9A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sym w:font="Symbol" w:char="F067"/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t</w:t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erpineol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4.27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252A95" w:rsidRDefault="001E4450" w:rsidP="005A2E9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4450" w:rsidRPr="00414DF1" w:rsidTr="005A2E9A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ethyl ac</w:t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etate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3.87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42.4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5.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252A95" w:rsidRDefault="001E4450" w:rsidP="005A2E9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4450" w:rsidRPr="00414DF1" w:rsidTr="00CC1818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enthone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3.84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450" w:rsidRPr="00252A95" w:rsidRDefault="001E4450" w:rsidP="005A2E9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1818" w:rsidRPr="00414DF1" w:rsidTr="00CC1818">
        <w:trPr>
          <w:trHeight w:val="58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18" w:rsidRPr="00CC1818" w:rsidRDefault="00CC1818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18" w:rsidRPr="00CC1818" w:rsidRDefault="00CC1818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18" w:rsidRPr="00CC1818" w:rsidRDefault="00CC1818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18" w:rsidRPr="00CC1818" w:rsidRDefault="00CC1818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18" w:rsidRPr="00CC1818" w:rsidRDefault="00CC1818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18" w:rsidRPr="00CC1818" w:rsidRDefault="00CC1818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18" w:rsidRPr="00CC1818" w:rsidRDefault="00CC1818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18" w:rsidRPr="00CC1818" w:rsidRDefault="00CC1818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18" w:rsidRPr="00CC1818" w:rsidRDefault="00CC1818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18" w:rsidRPr="00CC1818" w:rsidRDefault="00CC1818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C1818" w:rsidRPr="00CC1818" w:rsidRDefault="00CC1818" w:rsidP="005A2E9A">
            <w:pPr>
              <w:spacing w:after="0"/>
              <w:jc w:val="center"/>
              <w:rPr>
                <w:rFonts w:ascii="Calibri" w:hAnsi="Calibri"/>
                <w:color w:val="000000"/>
                <w:sz w:val="4"/>
                <w:szCs w:val="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C1818" w:rsidRPr="00CC1818" w:rsidRDefault="00CC1818" w:rsidP="005A2E9A">
            <w:pPr>
              <w:spacing w:after="0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</w:tcBorders>
            <w:vAlign w:val="bottom"/>
          </w:tcPr>
          <w:p w:rsidR="00CC1818" w:rsidRPr="00CC1818" w:rsidRDefault="00CC1818" w:rsidP="005A2E9A">
            <w:pPr>
              <w:spacing w:after="0"/>
              <w:jc w:val="center"/>
              <w:rPr>
                <w:color w:val="000000"/>
                <w:sz w:val="4"/>
                <w:szCs w:val="4"/>
              </w:rPr>
            </w:pPr>
          </w:p>
        </w:tc>
      </w:tr>
      <w:tr w:rsidR="00CC1818" w:rsidRPr="00414DF1" w:rsidTr="00CC1818">
        <w:trPr>
          <w:trHeight w:val="300"/>
        </w:trPr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18" w:rsidRPr="00414DF1" w:rsidRDefault="00CC1818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818" w:rsidRDefault="00CC1818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818" w:rsidRPr="00414DF1" w:rsidRDefault="00CC1818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818" w:rsidRPr="00414DF1" w:rsidRDefault="00CC1818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818" w:rsidRPr="00414DF1" w:rsidRDefault="00CC1818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818" w:rsidRPr="00414DF1" w:rsidRDefault="00CC1818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818" w:rsidRPr="00414DF1" w:rsidRDefault="00CC1818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818" w:rsidRPr="00414DF1" w:rsidRDefault="00CC1818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818" w:rsidRPr="00414DF1" w:rsidRDefault="00CC1818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818" w:rsidRPr="00414DF1" w:rsidRDefault="00CC1818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C1818" w:rsidRPr="00252A95" w:rsidRDefault="00CC1818" w:rsidP="005A2E9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C1818" w:rsidRPr="00815541" w:rsidRDefault="00CC1818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left w:val="nil"/>
              <w:bottom w:val="single" w:sz="4" w:space="0" w:color="auto"/>
            </w:tcBorders>
            <w:vAlign w:val="bottom"/>
          </w:tcPr>
          <w:p w:rsidR="00CC1818" w:rsidRPr="00815541" w:rsidRDefault="00CC1818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2B89" w:rsidRPr="00414DF1" w:rsidTr="00166C65">
        <w:trPr>
          <w:trHeight w:val="300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89" w:rsidRDefault="00EE2B89" w:rsidP="009F705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Table S</w:t>
            </w:r>
            <w:r w:rsidR="009F7051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  <w:r w:rsidR="00CC1818">
              <w:rPr>
                <w:rFonts w:eastAsia="Times New Roman" w:cs="Times New Roman"/>
                <w:color w:val="000000"/>
                <w:sz w:val="18"/>
                <w:szCs w:val="18"/>
              </w:rPr>
              <w:t>.a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(continued)</w:t>
            </w:r>
            <w:r w:rsidR="00166C65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B89" w:rsidRPr="00414DF1" w:rsidRDefault="00EE2B89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B89" w:rsidRDefault="00EE2B89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B89" w:rsidRDefault="00EE2B89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B89" w:rsidRPr="00414DF1" w:rsidRDefault="00EE2B89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B89" w:rsidRPr="00414DF1" w:rsidRDefault="00EE2B89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B89" w:rsidRPr="00414DF1" w:rsidRDefault="00EE2B89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B89" w:rsidRPr="00414DF1" w:rsidRDefault="00EE2B89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B89" w:rsidRDefault="00EE2B89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2B89" w:rsidRPr="00252A95" w:rsidRDefault="00EE2B89" w:rsidP="005A2E9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2B89" w:rsidRDefault="00EE2B89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B89" w:rsidRPr="00815541" w:rsidRDefault="00EE2B89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4450" w:rsidRPr="00414DF1" w:rsidTr="00166C65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enzyl acetate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3.32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4450" w:rsidRPr="00252A95" w:rsidRDefault="001E4450" w:rsidP="005A2E9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4450" w:rsidRPr="00815541" w:rsidRDefault="00A34AAC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4450" w:rsidRPr="00414DF1" w:rsidTr="005A2E9A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1,4-cineole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2.91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252A95" w:rsidRDefault="001E4450" w:rsidP="005A2E9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4450" w:rsidRPr="00414DF1" w:rsidTr="005A2E9A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sym w:font="Symbol" w:char="F062"/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-i</w:t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onone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252A95" w:rsidRDefault="001E4450" w:rsidP="005A2E9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815541">
              <w:rPr>
                <w:color w:val="000000"/>
                <w:sz w:val="18"/>
                <w:szCs w:val="18"/>
              </w:rPr>
              <w:t>20.4</w:t>
            </w:r>
          </w:p>
        </w:tc>
      </w:tr>
      <w:tr w:rsidR="001E4450" w:rsidRPr="00414DF1" w:rsidTr="005A2E9A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cis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-l</w:t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inalool oxide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252A95" w:rsidRDefault="001E4450" w:rsidP="005A2E9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4450" w:rsidRPr="00414DF1" w:rsidTr="005A2E9A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1-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</w:t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exanol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2.07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252A95" w:rsidRDefault="001E4450" w:rsidP="005A2E9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450" w:rsidRPr="00815541" w:rsidRDefault="00A34AAC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</w:t>
            </w:r>
          </w:p>
        </w:tc>
      </w:tr>
      <w:tr w:rsidR="001E4450" w:rsidRPr="00414DF1" w:rsidTr="005A2E9A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34AAC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Z</w:t>
            </w:r>
            <w:r w:rsidRPr="00A34AAC">
              <w:rPr>
                <w:rFonts w:eastAsia="Times New Roman" w:cs="Times New Roman"/>
                <w:color w:val="000000"/>
                <w:sz w:val="18"/>
                <w:szCs w:val="18"/>
              </w:rPr>
              <w:t>-3-hexenyl acetate</w:t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252A95" w:rsidRDefault="001E4450" w:rsidP="005A2E9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4450" w:rsidRPr="00414DF1" w:rsidTr="005A2E9A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trans-l</w:t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inalool oxide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252A95" w:rsidRDefault="001E4450" w:rsidP="005A2E9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4450" w:rsidRPr="00414DF1" w:rsidTr="005A2E9A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f</w:t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enchyl</w:t>
            </w:r>
            <w:proofErr w:type="spellEnd"/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alcohol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252A95" w:rsidRDefault="001E4450" w:rsidP="005A2E9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4450" w:rsidRPr="00414DF1" w:rsidTr="005A2E9A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myl </w:t>
            </w:r>
            <w:proofErr w:type="spellStart"/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isovalerate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252A95" w:rsidRDefault="001E4450" w:rsidP="005A2E9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4450" w:rsidRPr="00414DF1" w:rsidTr="005A2E9A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2,3-pentanedione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(acetyl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propionyl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1.80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252A95" w:rsidRDefault="001E4450" w:rsidP="005A2E9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4450" w:rsidRPr="00414DF1" w:rsidTr="005A2E9A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i</w:t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soamyl</w:t>
            </w:r>
            <w:proofErr w:type="spellEnd"/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isovalerate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21.</w:t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252A95" w:rsidRDefault="001E4450" w:rsidP="005A2E9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4450" w:rsidRPr="00414DF1" w:rsidTr="005A2E9A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itronellal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252A95" w:rsidRDefault="001E4450" w:rsidP="005A2E9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4450" w:rsidRPr="00414DF1" w:rsidTr="005A2E9A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enthyl</w:t>
            </w:r>
            <w:proofErr w:type="spellEnd"/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acetate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252A95" w:rsidRDefault="001E4450" w:rsidP="005A2E9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4450" w:rsidRPr="00414DF1" w:rsidTr="005A2E9A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n</w:t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eomenthol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252A95" w:rsidRDefault="001E4450" w:rsidP="005A2E9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4450" w:rsidRPr="00414DF1" w:rsidTr="005A2E9A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1-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</w:t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entanol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252A95" w:rsidRDefault="001E4450" w:rsidP="005A2E9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4450" w:rsidRPr="00414DF1" w:rsidTr="005A2E9A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6-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ethyl-5-hepten-2-one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252A95" w:rsidRDefault="001E4450" w:rsidP="005A2E9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4450" w:rsidRPr="00414DF1" w:rsidTr="005A2E9A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i</w:t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soamyl</w:t>
            </w:r>
            <w:proofErr w:type="spellEnd"/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butyrate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252A95" w:rsidRDefault="001E4450" w:rsidP="005A2E9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4450" w:rsidRPr="00414DF1" w:rsidTr="005A2E9A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p-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t</w:t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olualdehyde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252A95" w:rsidRDefault="001E4450" w:rsidP="005A2E9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4450" w:rsidRPr="00414DF1" w:rsidTr="005A2E9A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2-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ethylbutyl acetate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252A95" w:rsidRDefault="001E4450" w:rsidP="005A2E9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4450" w:rsidRPr="00414DF1" w:rsidTr="005A2E9A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e</w:t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thyl </w:t>
            </w:r>
            <w:proofErr w:type="spellStart"/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anthranilate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252A95" w:rsidRDefault="001E4450" w:rsidP="005A2E9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4450" w:rsidRPr="00414DF1" w:rsidTr="005A2E9A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d</w:t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imethyl</w:t>
            </w:r>
            <w:proofErr w:type="spellEnd"/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benzyl </w:t>
            </w:r>
            <w:proofErr w:type="spellStart"/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carbinyl</w:t>
            </w:r>
            <w:proofErr w:type="spellEnd"/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butyrate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252A95" w:rsidRDefault="001E4450" w:rsidP="005A2E9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4450" w:rsidRPr="00414DF1" w:rsidTr="005A2E9A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h</w:t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exyl</w:t>
            </w:r>
            <w:proofErr w:type="spellEnd"/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hexanoate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252A95" w:rsidRDefault="001E4450" w:rsidP="005A2E9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4450" w:rsidRPr="00414DF1" w:rsidTr="005A2E9A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aspberry </w:t>
            </w:r>
            <w:proofErr w:type="spellStart"/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ketone</w:t>
            </w:r>
            <w:proofErr w:type="spellEnd"/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methyl ether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vAlign w:val="bottom"/>
          </w:tcPr>
          <w:p w:rsidR="001E4450" w:rsidRPr="00252A95" w:rsidRDefault="001E4450" w:rsidP="005A2E9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4450" w:rsidRPr="00414DF1" w:rsidTr="005A2E9A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2,3-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  <w:r w:rsidRPr="00414DF1">
              <w:rPr>
                <w:rFonts w:eastAsia="Times New Roman" w:cs="Times New Roman"/>
                <w:color w:val="000000"/>
                <w:sz w:val="18"/>
                <w:szCs w:val="18"/>
              </w:rPr>
              <w:t>utanedione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(“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diacetyl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”)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5A2E9A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A16FC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450" w:rsidRPr="00414DF1" w:rsidRDefault="001E4450" w:rsidP="005A2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450" w:rsidRPr="00252A95" w:rsidRDefault="001E4450" w:rsidP="005A2E9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450" w:rsidRPr="00815541" w:rsidRDefault="001E4450" w:rsidP="005A2E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E697D" w:rsidRDefault="006E697D" w:rsidP="00F97A92"/>
    <w:sectPr w:rsidR="006E697D" w:rsidSect="00D56C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9440" w:h="12240" w:orient="landscape" w:code="5"/>
      <w:pgMar w:top="864" w:right="224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989" w:rsidRPr="00D02169" w:rsidRDefault="006F6989" w:rsidP="00EE2B89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endnote>
  <w:endnote w:type="continuationSeparator" w:id="0">
    <w:p w:rsidR="006F6989" w:rsidRPr="00D02169" w:rsidRDefault="006F6989" w:rsidP="00EE2B89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123" w:rsidRDefault="00B851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123" w:rsidRDefault="00B851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123" w:rsidRDefault="00B851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989" w:rsidRPr="00D02169" w:rsidRDefault="006F6989" w:rsidP="00EE2B89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footnote>
  <w:footnote w:type="continuationSeparator" w:id="0">
    <w:p w:rsidR="006F6989" w:rsidRPr="00D02169" w:rsidRDefault="006F6989" w:rsidP="00EE2B89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123" w:rsidRDefault="00B851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89" w:rsidRPr="00EE2B89" w:rsidRDefault="00EE2B89" w:rsidP="00EE2B89">
    <w:pPr>
      <w:pStyle w:val="Header"/>
    </w:pPr>
    <w:r w:rsidRPr="00EE2B89">
      <w:rPr>
        <w:b/>
        <w:bCs/>
      </w:rPr>
      <w:t>Supplementary Information</w:t>
    </w:r>
  </w:p>
  <w:p w:rsidR="00EE2B89" w:rsidRPr="00EE2B89" w:rsidRDefault="00B85123" w:rsidP="00EE2B89">
    <w:pPr>
      <w:pStyle w:val="Header"/>
    </w:pPr>
    <w:r>
      <w:rPr>
        <w:u w:val="single"/>
      </w:rPr>
      <w:t>Farley</w:t>
    </w:r>
    <w:r w:rsidR="00EE2B89" w:rsidRPr="00EE2B89">
      <w:rPr>
        <w:u w:val="single"/>
      </w:rPr>
      <w:t xml:space="preserve"> et al</w:t>
    </w:r>
    <w:r w:rsidR="00EE2B89" w:rsidRPr="00EE2B89">
      <w:t xml:space="preserve">. (2017) </w:t>
    </w:r>
    <w:proofErr w:type="spellStart"/>
    <w:r w:rsidR="009D5EC8" w:rsidRPr="009D5EC8">
      <w:t>Flavour</w:t>
    </w:r>
    <w:proofErr w:type="spellEnd"/>
    <w:r w:rsidR="009D5EC8" w:rsidRPr="009D5EC8">
      <w:t xml:space="preserve"> Chemicals in a Sample of Non-Cigarette Tobacco Products Without Explicit </w:t>
    </w:r>
    <w:proofErr w:type="spellStart"/>
    <w:r w:rsidR="009D5EC8" w:rsidRPr="009D5EC8">
      <w:t>Flavour</w:t>
    </w:r>
    <w:proofErr w:type="spellEnd"/>
    <w:r w:rsidR="009D5EC8" w:rsidRPr="009D5EC8">
      <w:t xml:space="preserve"> Names Sold in New York City in 2015</w:t>
    </w:r>
    <w:r w:rsidR="00EE2B89">
      <w:t>.</w:t>
    </w:r>
  </w:p>
  <w:p w:rsidR="00EE2B89" w:rsidRDefault="00EE2B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123" w:rsidRDefault="00B851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DF1"/>
    <w:rsid w:val="00004DB8"/>
    <w:rsid w:val="0001665A"/>
    <w:rsid w:val="0004449D"/>
    <w:rsid w:val="00065D41"/>
    <w:rsid w:val="00084A85"/>
    <w:rsid w:val="00094485"/>
    <w:rsid w:val="000D68DA"/>
    <w:rsid w:val="000E20B0"/>
    <w:rsid w:val="001022B3"/>
    <w:rsid w:val="00166C65"/>
    <w:rsid w:val="001A5BE0"/>
    <w:rsid w:val="001C0AA1"/>
    <w:rsid w:val="001E4450"/>
    <w:rsid w:val="0021377D"/>
    <w:rsid w:val="00252A95"/>
    <w:rsid w:val="00256EAA"/>
    <w:rsid w:val="002959F8"/>
    <w:rsid w:val="002D315D"/>
    <w:rsid w:val="002F0E30"/>
    <w:rsid w:val="00335A74"/>
    <w:rsid w:val="004033E2"/>
    <w:rsid w:val="00414DF1"/>
    <w:rsid w:val="004333F4"/>
    <w:rsid w:val="004E19DB"/>
    <w:rsid w:val="004E67BD"/>
    <w:rsid w:val="004F44BD"/>
    <w:rsid w:val="00524EF3"/>
    <w:rsid w:val="005A2E9A"/>
    <w:rsid w:val="005B39F1"/>
    <w:rsid w:val="005D5AC0"/>
    <w:rsid w:val="0063318E"/>
    <w:rsid w:val="00652A26"/>
    <w:rsid w:val="00672E7C"/>
    <w:rsid w:val="00680951"/>
    <w:rsid w:val="006E697D"/>
    <w:rsid w:val="006F6989"/>
    <w:rsid w:val="007164C4"/>
    <w:rsid w:val="007344CF"/>
    <w:rsid w:val="00734AE5"/>
    <w:rsid w:val="00743C4F"/>
    <w:rsid w:val="00767D9E"/>
    <w:rsid w:val="007701DB"/>
    <w:rsid w:val="007D672C"/>
    <w:rsid w:val="00815541"/>
    <w:rsid w:val="00836A0A"/>
    <w:rsid w:val="009467E3"/>
    <w:rsid w:val="00974A21"/>
    <w:rsid w:val="009A1A88"/>
    <w:rsid w:val="009D5B57"/>
    <w:rsid w:val="009D5EC8"/>
    <w:rsid w:val="009F7051"/>
    <w:rsid w:val="009F7AFC"/>
    <w:rsid w:val="00A16FCC"/>
    <w:rsid w:val="00A34AAC"/>
    <w:rsid w:val="00A94F5A"/>
    <w:rsid w:val="00B259D3"/>
    <w:rsid w:val="00B6481B"/>
    <w:rsid w:val="00B732D0"/>
    <w:rsid w:val="00B85123"/>
    <w:rsid w:val="00B90210"/>
    <w:rsid w:val="00BC3722"/>
    <w:rsid w:val="00C14136"/>
    <w:rsid w:val="00C47C22"/>
    <w:rsid w:val="00C91941"/>
    <w:rsid w:val="00CC1818"/>
    <w:rsid w:val="00CF1F5B"/>
    <w:rsid w:val="00D21062"/>
    <w:rsid w:val="00D56C43"/>
    <w:rsid w:val="00D8751D"/>
    <w:rsid w:val="00D9447D"/>
    <w:rsid w:val="00DE0F18"/>
    <w:rsid w:val="00DF7AA9"/>
    <w:rsid w:val="00E9073A"/>
    <w:rsid w:val="00E9281E"/>
    <w:rsid w:val="00E96404"/>
    <w:rsid w:val="00E968EE"/>
    <w:rsid w:val="00ED7AA8"/>
    <w:rsid w:val="00EE2B89"/>
    <w:rsid w:val="00F02B0E"/>
    <w:rsid w:val="00F1769B"/>
    <w:rsid w:val="00F97A92"/>
    <w:rsid w:val="00FD62DB"/>
    <w:rsid w:val="00FE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2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B89"/>
  </w:style>
  <w:style w:type="paragraph" w:styleId="Footer">
    <w:name w:val="footer"/>
    <w:basedOn w:val="Normal"/>
    <w:link w:val="FooterChar"/>
    <w:uiPriority w:val="99"/>
    <w:semiHidden/>
    <w:unhideWhenUsed/>
    <w:rsid w:val="00EE2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2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cp:lastPrinted>2015-11-11T03:33:00Z</cp:lastPrinted>
  <dcterms:created xsi:type="dcterms:W3CDTF">2017-03-30T18:16:00Z</dcterms:created>
  <dcterms:modified xsi:type="dcterms:W3CDTF">2017-03-30T18:16:00Z</dcterms:modified>
</cp:coreProperties>
</file>